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118F" w:rsidRPr="00BE0C84" w:rsidRDefault="00B0118F" w:rsidP="00BE0C84">
      <w:pPr>
        <w:spacing w:line="480" w:lineRule="auto"/>
        <w:jc w:val="center"/>
        <w:rPr>
          <w:rFonts w:ascii="Times New Roman" w:hAnsi="Times New Roman" w:cs="Times New Roman"/>
          <w:sz w:val="24"/>
          <w:szCs w:val="24"/>
        </w:rPr>
      </w:pPr>
    </w:p>
    <w:p w:rsidR="00B0118F" w:rsidRPr="00BE0C84" w:rsidRDefault="00B0118F" w:rsidP="00BE0C84">
      <w:pPr>
        <w:spacing w:line="480" w:lineRule="auto"/>
        <w:jc w:val="center"/>
        <w:rPr>
          <w:rFonts w:ascii="Times New Roman" w:hAnsi="Times New Roman" w:cs="Times New Roman"/>
          <w:sz w:val="24"/>
          <w:szCs w:val="24"/>
        </w:rPr>
      </w:pPr>
    </w:p>
    <w:p w:rsidR="00B0118F" w:rsidRPr="00BE0C84" w:rsidRDefault="00B0118F" w:rsidP="00BE0C84">
      <w:pPr>
        <w:spacing w:line="480" w:lineRule="auto"/>
        <w:jc w:val="center"/>
        <w:rPr>
          <w:rFonts w:ascii="Times New Roman" w:hAnsi="Times New Roman" w:cs="Times New Roman"/>
          <w:sz w:val="24"/>
          <w:szCs w:val="24"/>
        </w:rPr>
      </w:pPr>
    </w:p>
    <w:p w:rsidR="00B0118F" w:rsidRPr="00BE0C84" w:rsidRDefault="00B0118F" w:rsidP="00BE0C84">
      <w:pPr>
        <w:spacing w:line="480" w:lineRule="auto"/>
        <w:jc w:val="center"/>
        <w:rPr>
          <w:rFonts w:ascii="Times New Roman" w:hAnsi="Times New Roman" w:cs="Times New Roman"/>
          <w:sz w:val="24"/>
          <w:szCs w:val="24"/>
        </w:rPr>
      </w:pPr>
    </w:p>
    <w:p w:rsidR="00B0118F" w:rsidRPr="00BE0C84" w:rsidRDefault="00B0118F" w:rsidP="00BE0C84">
      <w:pPr>
        <w:spacing w:line="480" w:lineRule="auto"/>
        <w:jc w:val="center"/>
        <w:rPr>
          <w:rFonts w:ascii="Times New Roman" w:hAnsi="Times New Roman" w:cs="Times New Roman"/>
          <w:sz w:val="24"/>
          <w:szCs w:val="24"/>
        </w:rPr>
      </w:pPr>
    </w:p>
    <w:p w:rsidR="00B0118F" w:rsidRPr="00BE0C84" w:rsidRDefault="00B0118F" w:rsidP="00BE0C84">
      <w:pPr>
        <w:spacing w:line="480" w:lineRule="auto"/>
        <w:jc w:val="center"/>
        <w:rPr>
          <w:rFonts w:ascii="Times New Roman" w:hAnsi="Times New Roman" w:cs="Times New Roman"/>
          <w:sz w:val="24"/>
          <w:szCs w:val="24"/>
        </w:rPr>
      </w:pPr>
    </w:p>
    <w:p w:rsidR="00B0118F" w:rsidRPr="00BE0C84" w:rsidRDefault="00B0118F" w:rsidP="00BE0C84">
      <w:pPr>
        <w:spacing w:line="480" w:lineRule="auto"/>
        <w:jc w:val="center"/>
        <w:rPr>
          <w:rFonts w:ascii="Times New Roman" w:hAnsi="Times New Roman" w:cs="Times New Roman"/>
          <w:sz w:val="24"/>
          <w:szCs w:val="24"/>
        </w:rPr>
      </w:pPr>
    </w:p>
    <w:p w:rsidR="00B0118F" w:rsidRPr="00BE0C84" w:rsidRDefault="00B0118F" w:rsidP="00BE0C84">
      <w:pPr>
        <w:spacing w:line="480" w:lineRule="auto"/>
        <w:jc w:val="center"/>
        <w:rPr>
          <w:rFonts w:ascii="Times New Roman" w:hAnsi="Times New Roman" w:cs="Times New Roman"/>
          <w:sz w:val="24"/>
          <w:szCs w:val="24"/>
        </w:rPr>
      </w:pPr>
      <w:r w:rsidRPr="00BE0C84">
        <w:rPr>
          <w:rFonts w:ascii="Times New Roman" w:hAnsi="Times New Roman" w:cs="Times New Roman"/>
          <w:sz w:val="24"/>
          <w:szCs w:val="24"/>
        </w:rPr>
        <w:t>Poverty and Income Inequality</w:t>
      </w:r>
    </w:p>
    <w:p w:rsidR="00F0136C" w:rsidRPr="00BE0C84" w:rsidRDefault="00F0136C" w:rsidP="00BE0C84">
      <w:pPr>
        <w:spacing w:line="480" w:lineRule="auto"/>
        <w:jc w:val="center"/>
        <w:rPr>
          <w:rFonts w:ascii="Times New Roman" w:hAnsi="Times New Roman" w:cs="Times New Roman"/>
          <w:sz w:val="24"/>
          <w:szCs w:val="24"/>
        </w:rPr>
      </w:pPr>
      <w:r w:rsidRPr="00BE0C84">
        <w:rPr>
          <w:rFonts w:ascii="Times New Roman" w:hAnsi="Times New Roman" w:cs="Times New Roman"/>
          <w:sz w:val="24"/>
          <w:szCs w:val="24"/>
        </w:rPr>
        <w:t>Tamika Frank-Elam</w:t>
      </w:r>
    </w:p>
    <w:p w:rsidR="00F0136C" w:rsidRPr="00BE0C84" w:rsidRDefault="00F0136C" w:rsidP="00BE0C84">
      <w:pPr>
        <w:spacing w:line="480" w:lineRule="auto"/>
        <w:jc w:val="center"/>
        <w:rPr>
          <w:rFonts w:ascii="Times New Roman" w:hAnsi="Times New Roman" w:cs="Times New Roman"/>
          <w:sz w:val="24"/>
          <w:szCs w:val="24"/>
        </w:rPr>
      </w:pPr>
      <w:r w:rsidRPr="00BE0C84">
        <w:rPr>
          <w:rFonts w:ascii="Times New Roman" w:hAnsi="Times New Roman" w:cs="Times New Roman"/>
          <w:sz w:val="24"/>
          <w:szCs w:val="24"/>
        </w:rPr>
        <w:t>GEN 499-General Education Capstone</w:t>
      </w:r>
    </w:p>
    <w:p w:rsidR="00F0136C" w:rsidRPr="00BE0C84" w:rsidRDefault="00F0136C" w:rsidP="00BE0C84">
      <w:pPr>
        <w:spacing w:line="480" w:lineRule="auto"/>
        <w:jc w:val="center"/>
        <w:rPr>
          <w:rFonts w:ascii="Times New Roman" w:hAnsi="Times New Roman" w:cs="Times New Roman"/>
          <w:sz w:val="24"/>
          <w:szCs w:val="24"/>
        </w:rPr>
      </w:pPr>
      <w:r w:rsidRPr="00BE0C84">
        <w:rPr>
          <w:rFonts w:ascii="Times New Roman" w:hAnsi="Times New Roman" w:cs="Times New Roman"/>
          <w:sz w:val="24"/>
          <w:szCs w:val="24"/>
        </w:rPr>
        <w:t>Instructor Kristine Burns</w:t>
      </w:r>
    </w:p>
    <w:p w:rsidR="00B0118F" w:rsidRPr="00BE0C84" w:rsidRDefault="00F0136C" w:rsidP="00BE0C84">
      <w:pPr>
        <w:spacing w:line="480" w:lineRule="auto"/>
        <w:jc w:val="center"/>
        <w:rPr>
          <w:rFonts w:ascii="Times New Roman" w:hAnsi="Times New Roman" w:cs="Times New Roman"/>
          <w:sz w:val="24"/>
          <w:szCs w:val="24"/>
        </w:rPr>
      </w:pPr>
      <w:r w:rsidRPr="00BE0C84">
        <w:rPr>
          <w:rFonts w:ascii="Times New Roman" w:hAnsi="Times New Roman" w:cs="Times New Roman"/>
          <w:sz w:val="24"/>
          <w:szCs w:val="24"/>
        </w:rPr>
        <w:t>August 27, 2019</w:t>
      </w:r>
      <w:r w:rsidR="00B0118F" w:rsidRPr="00BE0C84">
        <w:rPr>
          <w:rFonts w:ascii="Times New Roman" w:hAnsi="Times New Roman" w:cs="Times New Roman"/>
          <w:sz w:val="24"/>
          <w:szCs w:val="24"/>
        </w:rPr>
        <w:br w:type="page"/>
      </w:r>
    </w:p>
    <w:p w:rsidR="0009796E" w:rsidRPr="00BE0C84" w:rsidRDefault="00B0118F" w:rsidP="00BE0C84">
      <w:pPr>
        <w:spacing w:line="480" w:lineRule="auto"/>
        <w:jc w:val="center"/>
        <w:rPr>
          <w:rFonts w:ascii="Times New Roman" w:hAnsi="Times New Roman" w:cs="Times New Roman"/>
          <w:sz w:val="24"/>
          <w:szCs w:val="24"/>
        </w:rPr>
      </w:pPr>
      <w:r w:rsidRPr="00BE0C84">
        <w:rPr>
          <w:rFonts w:ascii="Times New Roman" w:hAnsi="Times New Roman" w:cs="Times New Roman"/>
          <w:sz w:val="24"/>
          <w:szCs w:val="24"/>
        </w:rPr>
        <w:lastRenderedPageBreak/>
        <w:t>Poverty and Income I</w:t>
      </w:r>
      <w:r w:rsidR="009560B7" w:rsidRPr="00BE0C84">
        <w:rPr>
          <w:rFonts w:ascii="Times New Roman" w:hAnsi="Times New Roman" w:cs="Times New Roman"/>
          <w:sz w:val="24"/>
          <w:szCs w:val="24"/>
        </w:rPr>
        <w:t>nequality</w:t>
      </w:r>
      <w:bookmarkStart w:id="0" w:name="_GoBack"/>
      <w:bookmarkEnd w:id="0"/>
    </w:p>
    <w:p w:rsidR="009560B7" w:rsidRPr="00BE0C84" w:rsidRDefault="009560B7" w:rsidP="00BE0C84">
      <w:pPr>
        <w:spacing w:line="480" w:lineRule="auto"/>
        <w:jc w:val="center"/>
        <w:rPr>
          <w:rFonts w:ascii="Times New Roman" w:hAnsi="Times New Roman" w:cs="Times New Roman"/>
          <w:b/>
          <w:sz w:val="24"/>
          <w:szCs w:val="24"/>
        </w:rPr>
      </w:pPr>
      <w:r w:rsidRPr="00BE0C84">
        <w:rPr>
          <w:rFonts w:ascii="Times New Roman" w:hAnsi="Times New Roman" w:cs="Times New Roman"/>
          <w:b/>
          <w:sz w:val="24"/>
          <w:szCs w:val="24"/>
        </w:rPr>
        <w:t>Introduction</w:t>
      </w:r>
    </w:p>
    <w:p w:rsidR="00D913D7" w:rsidRPr="00BE0C84" w:rsidRDefault="00D913D7" w:rsidP="00BE0C84">
      <w:pPr>
        <w:pStyle w:val="NormalWeb"/>
        <w:spacing w:before="0" w:beforeAutospacing="0" w:after="0" w:afterAutospacing="0" w:line="480" w:lineRule="auto"/>
        <w:ind w:firstLine="720"/>
        <w:rPr>
          <w:color w:val="1C1E29"/>
        </w:rPr>
      </w:pPr>
      <w:r w:rsidRPr="00BE0C84">
        <w:rPr>
          <w:color w:val="1C1E29"/>
        </w:rPr>
        <w:t xml:space="preserve">Poverty and income inequality have evolved in different ways over the past years. Poverty and income inequality have stagnated growth and development in society, and as such, social life has been negatively impacted. The imbalance between the rich and the poor in economies has continued to trigger cases of poverty and inequality. Besides, poverty and inequality affect society negatively, and as such, it interferes with social interactions regardless of age, ethnicity, background, and race. Human dignity is violated since the rich continue exploiting the poor, and as such, some die as a result of extreme levels of poverty (Blau, 2018). As such, these issues damage the setup and relationships in the context of society, thus leading to stagnated growth and development. The issue of poverty and income inequality is a societal problem since it is attributed to issues such as murder, infant mortality, imprisonment, and teenage births. Poverty and income inequality can be eliminated through redistribution and the use of microfinance. </w:t>
      </w:r>
    </w:p>
    <w:p w:rsidR="00D913D7" w:rsidRPr="00BE0C84" w:rsidRDefault="00D913D7" w:rsidP="00BE0C84">
      <w:pPr>
        <w:pStyle w:val="NormalWeb"/>
        <w:spacing w:before="0" w:beforeAutospacing="0" w:after="0" w:afterAutospacing="0" w:line="480" w:lineRule="auto"/>
        <w:jc w:val="center"/>
        <w:rPr>
          <w:color w:val="1C1E29"/>
        </w:rPr>
      </w:pPr>
      <w:r w:rsidRPr="00BE0C84">
        <w:rPr>
          <w:rStyle w:val="Strong"/>
          <w:color w:val="1C1E29"/>
        </w:rPr>
        <w:t>Background Information on Poverty and Income Inequality</w:t>
      </w:r>
    </w:p>
    <w:p w:rsidR="00EE38D8" w:rsidRPr="00BE0C84" w:rsidRDefault="00D913D7" w:rsidP="00BE0C84">
      <w:pPr>
        <w:pStyle w:val="NormalWeb"/>
        <w:spacing w:before="0" w:beforeAutospacing="0" w:after="0" w:afterAutospacing="0" w:line="480" w:lineRule="auto"/>
        <w:ind w:firstLine="720"/>
        <w:rPr>
          <w:color w:val="1C1E29"/>
        </w:rPr>
      </w:pPr>
      <w:r w:rsidRPr="00BE0C84">
        <w:rPr>
          <w:color w:val="1C1E29"/>
        </w:rPr>
        <w:t xml:space="preserve">The rise of poverty and income inequality in an economy affects social interaction as well as development. An economy which is affected by extreme poverty and income inequality is unable to allocate resources equally. Unequal distribution of resources tends to favour some areas, and as such, the rich continue benefiting at the expense of the poor. The trends of poverty and income inequality have increased as a result of multiple financial crises which have affected the global economy (Yang, 2017). Also, children and the elderly are the most affected because they have no sources to generate income or revenue. Extreme cases for poverty and income inequality may rise if strategic measures are not implemented. Multiple forms of differences have risen as a result of the accommodation of adjustment policies and </w:t>
      </w:r>
      <w:r w:rsidRPr="00BE0C84">
        <w:rPr>
          <w:color w:val="1C1E29"/>
        </w:rPr>
        <w:lastRenderedPageBreak/>
        <w:t>financial liberalization (McKnight, 2019). For the case of more developed countries, poverty and inequality have been fuelled by severe financial crises over the years.</w:t>
      </w:r>
    </w:p>
    <w:p w:rsidR="00D913D7" w:rsidRPr="00BE0C84" w:rsidRDefault="00D913D7" w:rsidP="00BE0C84">
      <w:pPr>
        <w:pStyle w:val="NormalWeb"/>
        <w:spacing w:before="0" w:beforeAutospacing="0" w:after="0" w:afterAutospacing="0" w:line="480" w:lineRule="auto"/>
        <w:ind w:firstLine="720"/>
        <w:rPr>
          <w:color w:val="1C1E29"/>
        </w:rPr>
      </w:pPr>
      <w:r w:rsidRPr="00BE0C84">
        <w:rPr>
          <w:color w:val="1C1E29"/>
        </w:rPr>
        <w:t xml:space="preserve">Moreover, poverty and income inequality in developing economies continue to prevail as a result of undesirable social and political consequences. According to Dabla-Norris, Kochhar, Suphaphiphat, Ricka &amp; Tsounta (2015), the government affects both the economic and social aspects of society. A poor government is likely to suffer from extreme conditions of poverty and income inequality. The prevalence of issues such as murder, infant mortality, imprisonment, and teenage births, among others, can trigger poverty and income inequality. Social and economic aspects of society affect the growth and development since the public are unable to make vital decisions. Decision making is vita since it influences the extent of poverty and income inequality in the community set-up. To reduce poverty and income inequality, it is essential to take note of decision making. </w:t>
      </w:r>
    </w:p>
    <w:p w:rsidR="00D913D7" w:rsidRPr="00BE0C84" w:rsidRDefault="00D913D7" w:rsidP="00BE0C84">
      <w:pPr>
        <w:pStyle w:val="NormalWeb"/>
        <w:spacing w:before="0" w:beforeAutospacing="0" w:after="0" w:afterAutospacing="0" w:line="480" w:lineRule="auto"/>
        <w:jc w:val="center"/>
        <w:rPr>
          <w:color w:val="1C1E29"/>
        </w:rPr>
      </w:pPr>
      <w:r w:rsidRPr="00BE0C84">
        <w:rPr>
          <w:rStyle w:val="Strong"/>
          <w:color w:val="1C1E29"/>
        </w:rPr>
        <w:t>Redistribution</w:t>
      </w:r>
    </w:p>
    <w:p w:rsidR="00EE38D8" w:rsidRPr="00BE0C84" w:rsidRDefault="00D913D7" w:rsidP="00BE0C84">
      <w:pPr>
        <w:pStyle w:val="NormalWeb"/>
        <w:spacing w:before="0" w:beforeAutospacing="0" w:after="0" w:afterAutospacing="0" w:line="480" w:lineRule="auto"/>
        <w:ind w:firstLine="720"/>
        <w:rPr>
          <w:color w:val="1C1E29"/>
        </w:rPr>
      </w:pPr>
      <w:r w:rsidRPr="00BE0C84">
        <w:rPr>
          <w:color w:val="1C1E29"/>
        </w:rPr>
        <w:t>One of the proposed solutions in addressing poverty and income inequality is redistribution. According to Luebker (2014), redistribution can be defined as the utilization of transfer and tax policies, which are intended to minimize the rates of income inequality in an economy. Again, the use of redistribution has been prevalent in many debates that attempt to eliminate poverty and income inequality for many years. Policymakers, politicians, and other influential persons in governments in developing countries have advocated the use of redistribution in the fight of poverty and income inequality. These persons aim to urge governments to embrace and support the approach. Besides, redistribution is encompassed by tools such as the minimum wage legislation and sanctions, which tend to promote equality and stability in economies (Hoynes &amp; Patel, 2018). Society, in general, will benefit from redistribution for it will discourage inequalities in the market and social contexts.</w:t>
      </w:r>
    </w:p>
    <w:p w:rsidR="00D913D7" w:rsidRPr="00BE0C84" w:rsidRDefault="00D913D7" w:rsidP="00BE0C84">
      <w:pPr>
        <w:pStyle w:val="NormalWeb"/>
        <w:spacing w:before="0" w:beforeAutospacing="0" w:after="0" w:afterAutospacing="0" w:line="480" w:lineRule="auto"/>
        <w:ind w:firstLine="720"/>
        <w:rPr>
          <w:color w:val="1C1E29"/>
        </w:rPr>
      </w:pPr>
      <w:r w:rsidRPr="00BE0C84">
        <w:rPr>
          <w:color w:val="1C1E29"/>
        </w:rPr>
        <w:lastRenderedPageBreak/>
        <w:t xml:space="preserve">To attain poverty reduction targets in society, the aspect of growth is required. In other words, combining both redistribution and growth is likely to reduce poverty and income inequality since more practical strategies will be put in place. According to Luebker (2014), policymakers should urge and push the government to implement strategies that will increase the use of tax policies, which will reduce the gap between the rich and the poor. An economy where the rich continue accumulating more while poor people become poorer will have high levels of poverty and income inequality. Therefore, redistribution is a critical strategy that can be easily accommodated by the government for the reduction of poverty and income inequality. </w:t>
      </w:r>
    </w:p>
    <w:p w:rsidR="00D913D7" w:rsidRPr="00BE0C84" w:rsidRDefault="00D913D7" w:rsidP="00BE0C84">
      <w:pPr>
        <w:pStyle w:val="NormalWeb"/>
        <w:spacing w:before="0" w:beforeAutospacing="0" w:after="0" w:afterAutospacing="0" w:line="480" w:lineRule="auto"/>
        <w:jc w:val="center"/>
        <w:rPr>
          <w:color w:val="1C1E29"/>
        </w:rPr>
      </w:pPr>
      <w:r w:rsidRPr="00BE0C84">
        <w:rPr>
          <w:rStyle w:val="Strong"/>
          <w:color w:val="1C1E29"/>
        </w:rPr>
        <w:t>Use of Microfinance</w:t>
      </w:r>
    </w:p>
    <w:p w:rsidR="00EE38D8" w:rsidRPr="00BE0C84" w:rsidRDefault="00D913D7" w:rsidP="00BE0C84">
      <w:pPr>
        <w:pStyle w:val="NormalWeb"/>
        <w:spacing w:before="0" w:beforeAutospacing="0" w:after="0" w:afterAutospacing="0" w:line="480" w:lineRule="auto"/>
        <w:ind w:firstLine="720"/>
        <w:rPr>
          <w:color w:val="1C1E29"/>
        </w:rPr>
      </w:pPr>
      <w:r w:rsidRPr="00BE0C84">
        <w:rPr>
          <w:color w:val="1C1E29"/>
        </w:rPr>
        <w:t>The use of microfinance is a critical approach that can address poverty and income inequality in any economy. In other words, financial inclusion is an essential tool as far as reducing the rates of poverty, and income inequality since the poor are provided with opportunities to engage in self-employment activities that can generate income (Park &amp; Mercado, 2018). Financial inclusion can be defined as an approach that allows easy availability, access as well as the utilization of financial systems for all the members who constitutes the economy. For financial inclusion to effectively succeed, it is worth including the aspect of voluntary exclusions (Park &amp; Mercado, 2018). Voluntary exclusion can be defined as conditions where a part of the population of firms decide not to make use of financial services as a result of religious or culture reasons or to lack the interest to use them. Hence, the use of microfinance is a critical tool in the attempt to eradicate poverty and income inequality in an economy.</w:t>
      </w:r>
    </w:p>
    <w:p w:rsidR="00D913D7" w:rsidRPr="00BE0C84" w:rsidRDefault="00D913D7" w:rsidP="00BE0C84">
      <w:pPr>
        <w:pStyle w:val="NormalWeb"/>
        <w:spacing w:before="0" w:beforeAutospacing="0" w:after="0" w:afterAutospacing="0" w:line="480" w:lineRule="auto"/>
        <w:ind w:firstLine="720"/>
        <w:rPr>
          <w:color w:val="1C1E29"/>
        </w:rPr>
      </w:pPr>
      <w:r w:rsidRPr="00BE0C84">
        <w:rPr>
          <w:color w:val="1C1E29"/>
        </w:rPr>
        <w:t xml:space="preserve">On the other hand, involuntary exclusion thrives from market failures, discrimination, imperfections as well as insufficient incomes in an economy. Additionally, the poor will embrace financial independence hence producing more than what they are consuming. </w:t>
      </w:r>
      <w:r w:rsidRPr="00BE0C84">
        <w:rPr>
          <w:color w:val="1C1E29"/>
        </w:rPr>
        <w:lastRenderedPageBreak/>
        <w:t xml:space="preserve">Providing people in an economy with an opportunity to have their sources of income will reduce poverty and income inequality significantly. Hence, the levels of poverty will be reduced since the markets have an active circulation of revenue and profits. An economy with a constant active flow of income and profits is likely to </w:t>
      </w:r>
      <w:r w:rsidR="00EE38D8" w:rsidRPr="00BE0C84">
        <w:rPr>
          <w:color w:val="1C1E29"/>
        </w:rPr>
        <w:t>favour</w:t>
      </w:r>
      <w:r w:rsidRPr="00BE0C84">
        <w:rPr>
          <w:color w:val="1C1E29"/>
        </w:rPr>
        <w:t xml:space="preserve"> local businesses, and as such, poverty and income inequality will be minimized. Park and Mercado (2018) argued that microfinance institutions are governed by lenders and bankers who give people services such as payment services, loans, deposits, insurance services, and money transfers, among others. Such services will enable people to step up to start small localized businesses, and as such, this will reduce poverty and income inequality. It is fundamental for policymakers to focus and advocate for the application of involuntary exclusion since it will allow the development of economic policies and programs. For that reason, economic policies and programs should embrace the use of microfinance, for they are vital towards increasing income levels and correcting market imperfections and failures.</w:t>
      </w:r>
    </w:p>
    <w:p w:rsidR="00D913D7" w:rsidRPr="00BE0C84" w:rsidRDefault="00D913D7" w:rsidP="00BE0C84">
      <w:pPr>
        <w:pStyle w:val="NormalWeb"/>
        <w:spacing w:before="0" w:beforeAutospacing="0" w:after="0" w:afterAutospacing="0" w:line="480" w:lineRule="auto"/>
        <w:jc w:val="center"/>
        <w:rPr>
          <w:color w:val="1C1E29"/>
        </w:rPr>
      </w:pPr>
      <w:r w:rsidRPr="00BE0C84">
        <w:rPr>
          <w:rStyle w:val="Strong"/>
          <w:color w:val="1C1E29"/>
        </w:rPr>
        <w:t>Conclusion</w:t>
      </w:r>
    </w:p>
    <w:p w:rsidR="00D913D7" w:rsidRPr="00BE0C84" w:rsidRDefault="00D913D7" w:rsidP="00BE0C84">
      <w:pPr>
        <w:pStyle w:val="NormalWeb"/>
        <w:spacing w:before="0" w:beforeAutospacing="0" w:after="0" w:afterAutospacing="0" w:line="480" w:lineRule="auto"/>
        <w:ind w:firstLine="720"/>
        <w:rPr>
          <w:color w:val="1C1E29"/>
        </w:rPr>
      </w:pPr>
      <w:r w:rsidRPr="00BE0C84">
        <w:rPr>
          <w:color w:val="1C1E29"/>
        </w:rPr>
        <w:t xml:space="preserve">Poverty and income inequality can be eradicated through can be eliminated through the use of redistribution and microfinance. The use of redistribution and microfinance are proven strategies that can reduce poverty and income inequality. Redistribution is the utilization of transfer and tax policies, which are intended to minimize the rates of income inequality in an economy. </w:t>
      </w:r>
      <w:r w:rsidR="003B2863" w:rsidRPr="00BE0C84">
        <w:rPr>
          <w:color w:val="1C1E29"/>
        </w:rPr>
        <w:t>Redistribution</w:t>
      </w:r>
      <w:r w:rsidRPr="00BE0C84">
        <w:rPr>
          <w:color w:val="1C1E29"/>
        </w:rPr>
        <w:t xml:space="preserve"> is a useful tool that can be used to reduce poverty and income inequality in every economy since the poor will benefit from favourable tax brackets. Besides, policymakers should advocate for the use of microfinance in the economy as a way of reducing the gap between the rich and the poor. Microfinance is a critical tool which can be successful in eradicating poverty and income inequality. As such, it is governed by financial inclusion, which is an essential tool as far as decreasing the rates of poverty, and income </w:t>
      </w:r>
      <w:r w:rsidR="003B2863" w:rsidRPr="00BE0C84">
        <w:rPr>
          <w:color w:val="1C1E29"/>
        </w:rPr>
        <w:t>inequality is</w:t>
      </w:r>
      <w:r w:rsidRPr="00BE0C84">
        <w:rPr>
          <w:color w:val="1C1E29"/>
        </w:rPr>
        <w:t xml:space="preserve"> concerned. Also, the equation of ethics in society should not be ignored </w:t>
      </w:r>
      <w:r w:rsidRPr="00BE0C84">
        <w:rPr>
          <w:color w:val="1C1E29"/>
        </w:rPr>
        <w:lastRenderedPageBreak/>
        <w:t>when addressing the issue. Ethical aspects are essential foundations of society, and as such, the government’s efforts to redistribution and the introduction of microfinance should not violate human ethics.</w:t>
      </w:r>
    </w:p>
    <w:p w:rsidR="00D913D7" w:rsidRPr="00BE0C84" w:rsidRDefault="00D913D7" w:rsidP="00BE0C84">
      <w:pPr>
        <w:spacing w:line="480" w:lineRule="auto"/>
        <w:rPr>
          <w:rFonts w:ascii="Times New Roman" w:hAnsi="Times New Roman" w:cs="Times New Roman"/>
          <w:sz w:val="24"/>
          <w:szCs w:val="24"/>
        </w:rPr>
      </w:pPr>
    </w:p>
    <w:p w:rsidR="00EE38D8" w:rsidRPr="00BE0C84" w:rsidRDefault="00EE38D8" w:rsidP="00BE0C84">
      <w:pPr>
        <w:spacing w:line="480" w:lineRule="auto"/>
        <w:rPr>
          <w:rFonts w:ascii="Times New Roman" w:hAnsi="Times New Roman" w:cs="Times New Roman"/>
          <w:sz w:val="24"/>
          <w:szCs w:val="24"/>
        </w:rPr>
      </w:pPr>
    </w:p>
    <w:p w:rsidR="00EE38D8" w:rsidRPr="00BE0C84" w:rsidRDefault="00EE38D8" w:rsidP="00BE0C84">
      <w:pPr>
        <w:spacing w:line="480" w:lineRule="auto"/>
        <w:rPr>
          <w:rFonts w:ascii="Times New Roman" w:hAnsi="Times New Roman" w:cs="Times New Roman"/>
          <w:sz w:val="24"/>
          <w:szCs w:val="24"/>
        </w:rPr>
      </w:pPr>
    </w:p>
    <w:p w:rsidR="00EE38D8" w:rsidRPr="00BE0C84" w:rsidRDefault="00EE38D8" w:rsidP="00BE0C84">
      <w:pPr>
        <w:spacing w:line="480" w:lineRule="auto"/>
        <w:rPr>
          <w:rFonts w:ascii="Times New Roman" w:hAnsi="Times New Roman" w:cs="Times New Roman"/>
          <w:sz w:val="24"/>
          <w:szCs w:val="24"/>
        </w:rPr>
      </w:pPr>
    </w:p>
    <w:p w:rsidR="00EE38D8" w:rsidRPr="00BE0C84" w:rsidRDefault="00EE38D8" w:rsidP="00BE0C84">
      <w:pPr>
        <w:spacing w:line="480" w:lineRule="auto"/>
        <w:rPr>
          <w:rFonts w:ascii="Times New Roman" w:hAnsi="Times New Roman" w:cs="Times New Roman"/>
          <w:sz w:val="24"/>
          <w:szCs w:val="24"/>
        </w:rPr>
      </w:pPr>
    </w:p>
    <w:p w:rsidR="00EE38D8" w:rsidRPr="00BE0C84" w:rsidRDefault="00EE38D8" w:rsidP="00BE0C84">
      <w:pPr>
        <w:spacing w:line="480" w:lineRule="auto"/>
        <w:rPr>
          <w:rFonts w:ascii="Times New Roman" w:hAnsi="Times New Roman" w:cs="Times New Roman"/>
          <w:sz w:val="24"/>
          <w:szCs w:val="24"/>
        </w:rPr>
      </w:pPr>
    </w:p>
    <w:p w:rsidR="00EE38D8" w:rsidRPr="00BE0C84" w:rsidRDefault="00EE38D8" w:rsidP="00BE0C84">
      <w:pPr>
        <w:spacing w:line="480" w:lineRule="auto"/>
        <w:rPr>
          <w:rFonts w:ascii="Times New Roman" w:hAnsi="Times New Roman" w:cs="Times New Roman"/>
          <w:sz w:val="24"/>
          <w:szCs w:val="24"/>
        </w:rPr>
      </w:pPr>
    </w:p>
    <w:p w:rsidR="00EE38D8" w:rsidRPr="00BE0C84" w:rsidRDefault="00EE38D8" w:rsidP="00BE0C84">
      <w:pPr>
        <w:spacing w:line="480" w:lineRule="auto"/>
        <w:rPr>
          <w:rFonts w:ascii="Times New Roman" w:hAnsi="Times New Roman" w:cs="Times New Roman"/>
          <w:sz w:val="24"/>
          <w:szCs w:val="24"/>
        </w:rPr>
      </w:pPr>
    </w:p>
    <w:p w:rsidR="00EE38D8" w:rsidRPr="00BE0C84" w:rsidRDefault="00EE38D8" w:rsidP="00BE0C84">
      <w:pPr>
        <w:spacing w:line="480" w:lineRule="auto"/>
        <w:rPr>
          <w:rFonts w:ascii="Times New Roman" w:hAnsi="Times New Roman" w:cs="Times New Roman"/>
          <w:sz w:val="24"/>
          <w:szCs w:val="24"/>
        </w:rPr>
      </w:pPr>
    </w:p>
    <w:p w:rsidR="00EE38D8" w:rsidRPr="00BE0C84" w:rsidRDefault="00EE38D8" w:rsidP="00BE0C84">
      <w:pPr>
        <w:spacing w:line="480" w:lineRule="auto"/>
        <w:rPr>
          <w:rFonts w:ascii="Times New Roman" w:hAnsi="Times New Roman" w:cs="Times New Roman"/>
          <w:sz w:val="24"/>
          <w:szCs w:val="24"/>
        </w:rPr>
      </w:pPr>
    </w:p>
    <w:p w:rsidR="00EE38D8" w:rsidRPr="00BE0C84" w:rsidRDefault="00EE38D8" w:rsidP="00BE0C84">
      <w:pPr>
        <w:spacing w:line="480" w:lineRule="auto"/>
        <w:rPr>
          <w:rFonts w:ascii="Times New Roman" w:hAnsi="Times New Roman" w:cs="Times New Roman"/>
          <w:sz w:val="24"/>
          <w:szCs w:val="24"/>
        </w:rPr>
      </w:pPr>
    </w:p>
    <w:p w:rsidR="00EE38D8" w:rsidRPr="00BE0C84" w:rsidRDefault="00EE38D8" w:rsidP="00BE0C84">
      <w:pPr>
        <w:spacing w:line="480" w:lineRule="auto"/>
        <w:rPr>
          <w:rFonts w:ascii="Times New Roman" w:hAnsi="Times New Roman" w:cs="Times New Roman"/>
          <w:sz w:val="24"/>
          <w:szCs w:val="24"/>
        </w:rPr>
      </w:pPr>
    </w:p>
    <w:p w:rsidR="00EE38D8" w:rsidRPr="00BE0C84" w:rsidRDefault="00EE38D8" w:rsidP="00BE0C84">
      <w:pPr>
        <w:spacing w:line="480" w:lineRule="auto"/>
        <w:rPr>
          <w:rFonts w:ascii="Times New Roman" w:hAnsi="Times New Roman" w:cs="Times New Roman"/>
          <w:sz w:val="24"/>
          <w:szCs w:val="24"/>
        </w:rPr>
      </w:pPr>
    </w:p>
    <w:p w:rsidR="00EE38D8" w:rsidRPr="00BE0C84" w:rsidRDefault="00EE38D8" w:rsidP="00BE0C84">
      <w:pPr>
        <w:spacing w:line="480" w:lineRule="auto"/>
        <w:rPr>
          <w:rFonts w:ascii="Times New Roman" w:hAnsi="Times New Roman" w:cs="Times New Roman"/>
          <w:sz w:val="24"/>
          <w:szCs w:val="24"/>
        </w:rPr>
      </w:pPr>
    </w:p>
    <w:p w:rsidR="00EE38D8" w:rsidRPr="00BE0C84" w:rsidRDefault="00EE38D8" w:rsidP="00BE0C84">
      <w:pPr>
        <w:spacing w:line="480" w:lineRule="auto"/>
        <w:rPr>
          <w:rFonts w:ascii="Times New Roman" w:hAnsi="Times New Roman" w:cs="Times New Roman"/>
          <w:sz w:val="24"/>
          <w:szCs w:val="24"/>
        </w:rPr>
      </w:pPr>
    </w:p>
    <w:p w:rsidR="00EE38D8" w:rsidRPr="00BE0C84" w:rsidRDefault="00EE38D8" w:rsidP="00BE0C84">
      <w:pPr>
        <w:spacing w:line="480" w:lineRule="auto"/>
        <w:rPr>
          <w:rFonts w:ascii="Times New Roman" w:hAnsi="Times New Roman" w:cs="Times New Roman"/>
          <w:sz w:val="24"/>
          <w:szCs w:val="24"/>
        </w:rPr>
      </w:pPr>
    </w:p>
    <w:p w:rsidR="00EE38D8" w:rsidRPr="00BE0C84" w:rsidRDefault="00EE38D8" w:rsidP="00BE0C84">
      <w:pPr>
        <w:spacing w:line="480" w:lineRule="auto"/>
        <w:rPr>
          <w:rFonts w:ascii="Times New Roman" w:hAnsi="Times New Roman" w:cs="Times New Roman"/>
          <w:sz w:val="24"/>
          <w:szCs w:val="24"/>
        </w:rPr>
      </w:pPr>
    </w:p>
    <w:p w:rsidR="00C61280" w:rsidRPr="00BE0C84" w:rsidRDefault="00C61280" w:rsidP="00BE0C84">
      <w:pPr>
        <w:spacing w:line="480" w:lineRule="auto"/>
        <w:jc w:val="center"/>
        <w:rPr>
          <w:rFonts w:ascii="Times New Roman" w:hAnsi="Times New Roman" w:cs="Times New Roman"/>
          <w:sz w:val="24"/>
          <w:szCs w:val="24"/>
        </w:rPr>
      </w:pPr>
      <w:r w:rsidRPr="00BE0C84">
        <w:rPr>
          <w:rFonts w:ascii="Times New Roman" w:hAnsi="Times New Roman" w:cs="Times New Roman"/>
          <w:sz w:val="24"/>
          <w:szCs w:val="24"/>
        </w:rPr>
        <w:lastRenderedPageBreak/>
        <w:t>References</w:t>
      </w:r>
    </w:p>
    <w:p w:rsidR="000379D4" w:rsidRPr="00BE0C84" w:rsidRDefault="000379D4" w:rsidP="00BE0C84">
      <w:pPr>
        <w:spacing w:line="480" w:lineRule="auto"/>
        <w:ind w:left="720" w:hanging="720"/>
        <w:rPr>
          <w:rFonts w:ascii="Times New Roman" w:hAnsi="Times New Roman" w:cs="Times New Roman"/>
          <w:color w:val="222222"/>
          <w:sz w:val="24"/>
          <w:szCs w:val="24"/>
          <w:shd w:val="clear" w:color="auto" w:fill="FFFFFF"/>
        </w:rPr>
      </w:pPr>
      <w:r w:rsidRPr="00BE0C84">
        <w:rPr>
          <w:rFonts w:ascii="Times New Roman" w:hAnsi="Times New Roman" w:cs="Times New Roman"/>
          <w:color w:val="222222"/>
          <w:sz w:val="24"/>
          <w:szCs w:val="24"/>
          <w:shd w:val="clear" w:color="auto" w:fill="FFFFFF"/>
        </w:rPr>
        <w:t>Blau, B. M. (2018). Income inequality, poverty, and the liquidity of stock markets. </w:t>
      </w:r>
      <w:r w:rsidR="00C73C6E" w:rsidRPr="00BE0C84">
        <w:rPr>
          <w:rFonts w:ascii="Times New Roman" w:hAnsi="Times New Roman" w:cs="Times New Roman"/>
          <w:color w:val="222222"/>
          <w:sz w:val="24"/>
          <w:szCs w:val="24"/>
          <w:shd w:val="clear" w:color="auto" w:fill="FFFFFF"/>
        </w:rPr>
        <w:t xml:space="preserve">Retrieved from </w:t>
      </w:r>
      <w:hyperlink r:id="rId6" w:history="1">
        <w:r w:rsidR="00F0136C" w:rsidRPr="00BE0C84">
          <w:rPr>
            <w:rStyle w:val="Hyperlink"/>
            <w:rFonts w:ascii="Times New Roman" w:hAnsi="Times New Roman" w:cs="Times New Roman"/>
            <w:sz w:val="24"/>
            <w:szCs w:val="24"/>
            <w:shd w:val="clear" w:color="auto" w:fill="FFFFFF"/>
          </w:rPr>
          <w:t>https://www.sciencedirect.com/science/article/pii/S0304387817300858</w:t>
        </w:r>
      </w:hyperlink>
      <w:r w:rsidR="00F0136C" w:rsidRPr="00BE0C84">
        <w:rPr>
          <w:rFonts w:ascii="Times New Roman" w:hAnsi="Times New Roman" w:cs="Times New Roman"/>
          <w:color w:val="222222"/>
          <w:sz w:val="24"/>
          <w:szCs w:val="24"/>
          <w:shd w:val="clear" w:color="auto" w:fill="FFFFFF"/>
        </w:rPr>
        <w:t xml:space="preserve">. </w:t>
      </w:r>
      <w:r w:rsidRPr="00BE0C84">
        <w:rPr>
          <w:rFonts w:ascii="Times New Roman" w:hAnsi="Times New Roman" w:cs="Times New Roman"/>
          <w:i/>
          <w:iCs/>
          <w:color w:val="222222"/>
          <w:sz w:val="24"/>
          <w:szCs w:val="24"/>
          <w:shd w:val="clear" w:color="auto" w:fill="FFFFFF"/>
        </w:rPr>
        <w:t>Journal of Development Economics</w:t>
      </w:r>
      <w:r w:rsidRPr="00BE0C84">
        <w:rPr>
          <w:rFonts w:ascii="Times New Roman" w:hAnsi="Times New Roman" w:cs="Times New Roman"/>
          <w:color w:val="222222"/>
          <w:sz w:val="24"/>
          <w:szCs w:val="24"/>
          <w:shd w:val="clear" w:color="auto" w:fill="FFFFFF"/>
        </w:rPr>
        <w:t>, </w:t>
      </w:r>
      <w:r w:rsidRPr="00BE0C84">
        <w:rPr>
          <w:rFonts w:ascii="Times New Roman" w:hAnsi="Times New Roman" w:cs="Times New Roman"/>
          <w:i/>
          <w:iCs/>
          <w:color w:val="222222"/>
          <w:sz w:val="24"/>
          <w:szCs w:val="24"/>
          <w:shd w:val="clear" w:color="auto" w:fill="FFFFFF"/>
        </w:rPr>
        <w:t>130</w:t>
      </w:r>
      <w:r w:rsidRPr="00BE0C84">
        <w:rPr>
          <w:rFonts w:ascii="Times New Roman" w:hAnsi="Times New Roman" w:cs="Times New Roman"/>
          <w:color w:val="222222"/>
          <w:sz w:val="24"/>
          <w:szCs w:val="24"/>
          <w:shd w:val="clear" w:color="auto" w:fill="FFFFFF"/>
        </w:rPr>
        <w:t>, 113-126.</w:t>
      </w:r>
    </w:p>
    <w:p w:rsidR="000379D4" w:rsidRPr="00BE0C84" w:rsidRDefault="000379D4" w:rsidP="00BE0C84">
      <w:pPr>
        <w:spacing w:line="480" w:lineRule="auto"/>
        <w:ind w:left="720" w:hanging="720"/>
        <w:rPr>
          <w:rFonts w:ascii="Times New Roman" w:hAnsi="Times New Roman" w:cs="Times New Roman"/>
          <w:color w:val="222222"/>
          <w:sz w:val="24"/>
          <w:szCs w:val="24"/>
          <w:shd w:val="clear" w:color="auto" w:fill="FFFFFF"/>
        </w:rPr>
      </w:pPr>
      <w:r w:rsidRPr="00BE0C84">
        <w:rPr>
          <w:rFonts w:ascii="Times New Roman" w:hAnsi="Times New Roman" w:cs="Times New Roman"/>
          <w:color w:val="222222"/>
          <w:sz w:val="24"/>
          <w:szCs w:val="24"/>
          <w:shd w:val="clear" w:color="auto" w:fill="FFFFFF"/>
        </w:rPr>
        <w:t>Dabla-Norris, M. E., Kochhar, M. K., Suphaphiphat, M. N., Ricka, M. F., &amp;Tsounta, E. (2015). </w:t>
      </w:r>
      <w:r w:rsidRPr="00BE0C84">
        <w:rPr>
          <w:rFonts w:ascii="Times New Roman" w:hAnsi="Times New Roman" w:cs="Times New Roman"/>
          <w:i/>
          <w:iCs/>
          <w:color w:val="222222"/>
          <w:sz w:val="24"/>
          <w:szCs w:val="24"/>
          <w:shd w:val="clear" w:color="auto" w:fill="FFFFFF"/>
        </w:rPr>
        <w:t>Causes and consequences of income inequality: A global perspective</w:t>
      </w:r>
      <w:r w:rsidRPr="00BE0C84">
        <w:rPr>
          <w:rFonts w:ascii="Times New Roman" w:hAnsi="Times New Roman" w:cs="Times New Roman"/>
          <w:color w:val="222222"/>
          <w:sz w:val="24"/>
          <w:szCs w:val="24"/>
          <w:shd w:val="clear" w:color="auto" w:fill="FFFFFF"/>
        </w:rPr>
        <w:t>. International Monetary Fund.</w:t>
      </w:r>
    </w:p>
    <w:p w:rsidR="000379D4" w:rsidRPr="00BE0C84" w:rsidRDefault="000379D4" w:rsidP="00BE0C84">
      <w:pPr>
        <w:spacing w:line="480" w:lineRule="auto"/>
        <w:ind w:left="720" w:hanging="720"/>
        <w:rPr>
          <w:rFonts w:ascii="Times New Roman" w:hAnsi="Times New Roman" w:cs="Times New Roman"/>
          <w:sz w:val="24"/>
          <w:szCs w:val="24"/>
        </w:rPr>
      </w:pPr>
      <w:r w:rsidRPr="00BE0C84">
        <w:rPr>
          <w:rFonts w:ascii="Times New Roman" w:hAnsi="Times New Roman" w:cs="Times New Roman"/>
          <w:color w:val="222222"/>
          <w:sz w:val="24"/>
          <w:szCs w:val="24"/>
          <w:shd w:val="clear" w:color="auto" w:fill="FFFFFF"/>
        </w:rPr>
        <w:t>Hoynes, H. W., &amp; Patel, A. J. (2018). Effective policy for reducing poverty and inequality? The Earned Income Tax Credit and the distribution of income. </w:t>
      </w:r>
      <w:r w:rsidR="00F0136C" w:rsidRPr="00BE0C84">
        <w:rPr>
          <w:rFonts w:ascii="Times New Roman" w:hAnsi="Times New Roman" w:cs="Times New Roman"/>
          <w:color w:val="222222"/>
          <w:sz w:val="24"/>
          <w:szCs w:val="24"/>
          <w:shd w:val="clear" w:color="auto" w:fill="FFFFFF"/>
        </w:rPr>
        <w:t xml:space="preserve">Retrieved from </w:t>
      </w:r>
      <w:hyperlink r:id="rId7" w:history="1">
        <w:r w:rsidR="00F0136C" w:rsidRPr="00BE0C84">
          <w:rPr>
            <w:rStyle w:val="Hyperlink"/>
            <w:rFonts w:ascii="Times New Roman" w:hAnsi="Times New Roman" w:cs="Times New Roman"/>
            <w:sz w:val="24"/>
            <w:szCs w:val="24"/>
            <w:shd w:val="clear" w:color="auto" w:fill="FFFFFF"/>
          </w:rPr>
          <w:t>http://jhr.uwpress.org/content/53/4/859.short</w:t>
        </w:r>
      </w:hyperlink>
      <w:r w:rsidR="00F0136C" w:rsidRPr="00BE0C84">
        <w:rPr>
          <w:rFonts w:ascii="Times New Roman" w:hAnsi="Times New Roman" w:cs="Times New Roman"/>
          <w:color w:val="222222"/>
          <w:sz w:val="24"/>
          <w:szCs w:val="24"/>
          <w:shd w:val="clear" w:color="auto" w:fill="FFFFFF"/>
        </w:rPr>
        <w:t xml:space="preserve">. </w:t>
      </w:r>
      <w:r w:rsidRPr="00BE0C84">
        <w:rPr>
          <w:rFonts w:ascii="Times New Roman" w:hAnsi="Times New Roman" w:cs="Times New Roman"/>
          <w:i/>
          <w:iCs/>
          <w:color w:val="222222"/>
          <w:sz w:val="24"/>
          <w:szCs w:val="24"/>
          <w:shd w:val="clear" w:color="auto" w:fill="FFFFFF"/>
        </w:rPr>
        <w:t>Journal of human Resources</w:t>
      </w:r>
      <w:r w:rsidRPr="00BE0C84">
        <w:rPr>
          <w:rFonts w:ascii="Times New Roman" w:hAnsi="Times New Roman" w:cs="Times New Roman"/>
          <w:color w:val="222222"/>
          <w:sz w:val="24"/>
          <w:szCs w:val="24"/>
          <w:shd w:val="clear" w:color="auto" w:fill="FFFFFF"/>
        </w:rPr>
        <w:t>, </w:t>
      </w:r>
      <w:r w:rsidRPr="00BE0C84">
        <w:rPr>
          <w:rFonts w:ascii="Times New Roman" w:hAnsi="Times New Roman" w:cs="Times New Roman"/>
          <w:i/>
          <w:iCs/>
          <w:color w:val="222222"/>
          <w:sz w:val="24"/>
          <w:szCs w:val="24"/>
          <w:shd w:val="clear" w:color="auto" w:fill="FFFFFF"/>
        </w:rPr>
        <w:t>53</w:t>
      </w:r>
      <w:r w:rsidRPr="00BE0C84">
        <w:rPr>
          <w:rFonts w:ascii="Times New Roman" w:hAnsi="Times New Roman" w:cs="Times New Roman"/>
          <w:color w:val="222222"/>
          <w:sz w:val="24"/>
          <w:szCs w:val="24"/>
          <w:shd w:val="clear" w:color="auto" w:fill="FFFFFF"/>
        </w:rPr>
        <w:t>(4), 859-890.</w:t>
      </w:r>
    </w:p>
    <w:p w:rsidR="000379D4" w:rsidRPr="00BE0C84" w:rsidRDefault="000379D4" w:rsidP="00BE0C84">
      <w:pPr>
        <w:spacing w:line="480" w:lineRule="auto"/>
        <w:ind w:left="720" w:hanging="720"/>
        <w:rPr>
          <w:rFonts w:ascii="Times New Roman" w:hAnsi="Times New Roman" w:cs="Times New Roman"/>
          <w:color w:val="222222"/>
          <w:sz w:val="24"/>
          <w:szCs w:val="24"/>
          <w:shd w:val="clear" w:color="auto" w:fill="FFFFFF"/>
        </w:rPr>
      </w:pPr>
      <w:r w:rsidRPr="00BE0C84">
        <w:rPr>
          <w:rFonts w:ascii="Times New Roman" w:hAnsi="Times New Roman" w:cs="Times New Roman"/>
          <w:color w:val="222222"/>
          <w:sz w:val="24"/>
          <w:szCs w:val="24"/>
          <w:shd w:val="clear" w:color="auto" w:fill="FFFFFF"/>
        </w:rPr>
        <w:t>Luebker, M. (2014). Income inequality, redistribution, and poverty: Contrasting rational choice and behavioural perspectives. </w:t>
      </w:r>
      <w:r w:rsidRPr="00BE0C84">
        <w:rPr>
          <w:rFonts w:ascii="Times New Roman" w:hAnsi="Times New Roman" w:cs="Times New Roman"/>
          <w:i/>
          <w:iCs/>
          <w:color w:val="222222"/>
          <w:sz w:val="24"/>
          <w:szCs w:val="24"/>
          <w:shd w:val="clear" w:color="auto" w:fill="FFFFFF"/>
        </w:rPr>
        <w:t>Review of Income and Wealth</w:t>
      </w:r>
      <w:r w:rsidRPr="00BE0C84">
        <w:rPr>
          <w:rFonts w:ascii="Times New Roman" w:hAnsi="Times New Roman" w:cs="Times New Roman"/>
          <w:color w:val="222222"/>
          <w:sz w:val="24"/>
          <w:szCs w:val="24"/>
          <w:shd w:val="clear" w:color="auto" w:fill="FFFFFF"/>
        </w:rPr>
        <w:t>, </w:t>
      </w:r>
      <w:r w:rsidRPr="00BE0C84">
        <w:rPr>
          <w:rFonts w:ascii="Times New Roman" w:hAnsi="Times New Roman" w:cs="Times New Roman"/>
          <w:i/>
          <w:iCs/>
          <w:color w:val="222222"/>
          <w:sz w:val="24"/>
          <w:szCs w:val="24"/>
          <w:shd w:val="clear" w:color="auto" w:fill="FFFFFF"/>
        </w:rPr>
        <w:t>60</w:t>
      </w:r>
      <w:r w:rsidRPr="00BE0C84">
        <w:rPr>
          <w:rFonts w:ascii="Times New Roman" w:hAnsi="Times New Roman" w:cs="Times New Roman"/>
          <w:color w:val="222222"/>
          <w:sz w:val="24"/>
          <w:szCs w:val="24"/>
          <w:shd w:val="clear" w:color="auto" w:fill="FFFFFF"/>
        </w:rPr>
        <w:t>(1), 133-154.</w:t>
      </w:r>
    </w:p>
    <w:p w:rsidR="000379D4" w:rsidRPr="00BE0C84" w:rsidRDefault="000379D4" w:rsidP="00BE0C84">
      <w:pPr>
        <w:spacing w:line="480" w:lineRule="auto"/>
        <w:ind w:left="720" w:hanging="720"/>
        <w:rPr>
          <w:rFonts w:ascii="Times New Roman" w:hAnsi="Times New Roman" w:cs="Times New Roman"/>
          <w:color w:val="222222"/>
          <w:sz w:val="24"/>
          <w:szCs w:val="24"/>
          <w:shd w:val="clear" w:color="auto" w:fill="FFFFFF"/>
        </w:rPr>
      </w:pPr>
      <w:r w:rsidRPr="00BE0C84">
        <w:rPr>
          <w:rFonts w:ascii="Times New Roman" w:hAnsi="Times New Roman" w:cs="Times New Roman"/>
          <w:color w:val="222222"/>
          <w:sz w:val="24"/>
          <w:szCs w:val="24"/>
          <w:shd w:val="clear" w:color="auto" w:fill="FFFFFF"/>
        </w:rPr>
        <w:t>McKnight, A. (2019). </w:t>
      </w:r>
      <w:r w:rsidRPr="00BE0C84">
        <w:rPr>
          <w:rFonts w:ascii="Times New Roman" w:hAnsi="Times New Roman" w:cs="Times New Roman"/>
          <w:i/>
          <w:iCs/>
          <w:color w:val="222222"/>
          <w:sz w:val="24"/>
          <w:szCs w:val="24"/>
          <w:shd w:val="clear" w:color="auto" w:fill="FFFFFF"/>
        </w:rPr>
        <w:t xml:space="preserve">Understanding the relationship between poverty, inequality and growth: a review of existing evidence </w:t>
      </w:r>
      <w:r w:rsidRPr="00BE0C84">
        <w:rPr>
          <w:rFonts w:ascii="Times New Roman" w:hAnsi="Times New Roman" w:cs="Times New Roman"/>
          <w:color w:val="222222"/>
          <w:sz w:val="24"/>
          <w:szCs w:val="24"/>
          <w:shd w:val="clear" w:color="auto" w:fill="FFFFFF"/>
        </w:rPr>
        <w:t>(No. 216). Centre for Analysis of Social Exclusion, LSE.</w:t>
      </w:r>
    </w:p>
    <w:p w:rsidR="000379D4" w:rsidRPr="00BE0C84" w:rsidRDefault="000379D4" w:rsidP="00BE0C84">
      <w:pPr>
        <w:spacing w:line="480" w:lineRule="auto"/>
        <w:ind w:left="720" w:hanging="720"/>
        <w:rPr>
          <w:rFonts w:ascii="Times New Roman" w:hAnsi="Times New Roman" w:cs="Times New Roman"/>
          <w:color w:val="222222"/>
          <w:sz w:val="24"/>
          <w:szCs w:val="24"/>
          <w:shd w:val="clear" w:color="auto" w:fill="FFFFFF"/>
        </w:rPr>
      </w:pPr>
      <w:r w:rsidRPr="00BE0C84">
        <w:rPr>
          <w:rFonts w:ascii="Times New Roman" w:hAnsi="Times New Roman" w:cs="Times New Roman"/>
          <w:color w:val="222222"/>
          <w:sz w:val="24"/>
          <w:szCs w:val="24"/>
          <w:shd w:val="clear" w:color="auto" w:fill="FFFFFF"/>
        </w:rPr>
        <w:t>Park, C. Y., &amp;Mercado, J. R. (2018).Financial inclusion, poverty, and income inequality. </w:t>
      </w:r>
      <w:r w:rsidRPr="00BE0C84">
        <w:rPr>
          <w:rFonts w:ascii="Times New Roman" w:hAnsi="Times New Roman" w:cs="Times New Roman"/>
          <w:i/>
          <w:iCs/>
          <w:color w:val="222222"/>
          <w:sz w:val="24"/>
          <w:szCs w:val="24"/>
          <w:shd w:val="clear" w:color="auto" w:fill="FFFFFF"/>
        </w:rPr>
        <w:t>The Singapore Economic Review</w:t>
      </w:r>
      <w:r w:rsidRPr="00BE0C84">
        <w:rPr>
          <w:rFonts w:ascii="Times New Roman" w:hAnsi="Times New Roman" w:cs="Times New Roman"/>
          <w:color w:val="222222"/>
          <w:sz w:val="24"/>
          <w:szCs w:val="24"/>
          <w:shd w:val="clear" w:color="auto" w:fill="FFFFFF"/>
        </w:rPr>
        <w:t>, </w:t>
      </w:r>
      <w:r w:rsidRPr="00BE0C84">
        <w:rPr>
          <w:rFonts w:ascii="Times New Roman" w:hAnsi="Times New Roman" w:cs="Times New Roman"/>
          <w:i/>
          <w:iCs/>
          <w:color w:val="222222"/>
          <w:sz w:val="24"/>
          <w:szCs w:val="24"/>
          <w:shd w:val="clear" w:color="auto" w:fill="FFFFFF"/>
        </w:rPr>
        <w:t>63</w:t>
      </w:r>
      <w:r w:rsidRPr="00BE0C84">
        <w:rPr>
          <w:rFonts w:ascii="Times New Roman" w:hAnsi="Times New Roman" w:cs="Times New Roman"/>
          <w:color w:val="222222"/>
          <w:sz w:val="24"/>
          <w:szCs w:val="24"/>
          <w:shd w:val="clear" w:color="auto" w:fill="FFFFFF"/>
        </w:rPr>
        <w:t>(01), 185-206.</w:t>
      </w:r>
    </w:p>
    <w:p w:rsidR="000379D4" w:rsidRPr="00BE0C84" w:rsidRDefault="000379D4" w:rsidP="00BE0C84">
      <w:pPr>
        <w:spacing w:line="480" w:lineRule="auto"/>
        <w:ind w:left="720" w:hanging="720"/>
        <w:rPr>
          <w:rFonts w:ascii="Times New Roman" w:hAnsi="Times New Roman" w:cs="Times New Roman"/>
          <w:color w:val="222222"/>
          <w:sz w:val="24"/>
          <w:szCs w:val="24"/>
          <w:shd w:val="clear" w:color="auto" w:fill="FFFFFF"/>
        </w:rPr>
      </w:pPr>
      <w:r w:rsidRPr="00BE0C84">
        <w:rPr>
          <w:rFonts w:ascii="Times New Roman" w:hAnsi="Times New Roman" w:cs="Times New Roman"/>
          <w:color w:val="222222"/>
          <w:sz w:val="24"/>
          <w:szCs w:val="24"/>
          <w:shd w:val="clear" w:color="auto" w:fill="FFFFFF"/>
        </w:rPr>
        <w:t>Seven, U., &amp; Coskun, Y. (2016). Does financial development reduce income inequality and poverty? Evidence from emerging countries. </w:t>
      </w:r>
      <w:r w:rsidRPr="00BE0C84">
        <w:rPr>
          <w:rFonts w:ascii="Times New Roman" w:hAnsi="Times New Roman" w:cs="Times New Roman"/>
          <w:i/>
          <w:iCs/>
          <w:color w:val="222222"/>
          <w:sz w:val="24"/>
          <w:szCs w:val="24"/>
          <w:shd w:val="clear" w:color="auto" w:fill="FFFFFF"/>
        </w:rPr>
        <w:t>Emerging Markets Review</w:t>
      </w:r>
      <w:r w:rsidRPr="00BE0C84">
        <w:rPr>
          <w:rFonts w:ascii="Times New Roman" w:hAnsi="Times New Roman" w:cs="Times New Roman"/>
          <w:color w:val="222222"/>
          <w:sz w:val="24"/>
          <w:szCs w:val="24"/>
          <w:shd w:val="clear" w:color="auto" w:fill="FFFFFF"/>
        </w:rPr>
        <w:t>, </w:t>
      </w:r>
      <w:r w:rsidRPr="00BE0C84">
        <w:rPr>
          <w:rFonts w:ascii="Times New Roman" w:hAnsi="Times New Roman" w:cs="Times New Roman"/>
          <w:i/>
          <w:iCs/>
          <w:color w:val="222222"/>
          <w:sz w:val="24"/>
          <w:szCs w:val="24"/>
          <w:shd w:val="clear" w:color="auto" w:fill="FFFFFF"/>
        </w:rPr>
        <w:t>26</w:t>
      </w:r>
      <w:r w:rsidRPr="00BE0C84">
        <w:rPr>
          <w:rFonts w:ascii="Times New Roman" w:hAnsi="Times New Roman" w:cs="Times New Roman"/>
          <w:color w:val="222222"/>
          <w:sz w:val="24"/>
          <w:szCs w:val="24"/>
          <w:shd w:val="clear" w:color="auto" w:fill="FFFFFF"/>
        </w:rPr>
        <w:t>, 34-63.</w:t>
      </w:r>
    </w:p>
    <w:p w:rsidR="000379D4" w:rsidRPr="00BE0C84" w:rsidRDefault="000379D4" w:rsidP="00BE0C84">
      <w:pPr>
        <w:spacing w:line="480" w:lineRule="auto"/>
        <w:ind w:left="720" w:hanging="720"/>
        <w:rPr>
          <w:rFonts w:ascii="Times New Roman" w:hAnsi="Times New Roman" w:cs="Times New Roman"/>
          <w:color w:val="222222"/>
          <w:sz w:val="24"/>
          <w:szCs w:val="24"/>
          <w:shd w:val="clear" w:color="auto" w:fill="FFFFFF"/>
        </w:rPr>
      </w:pPr>
      <w:r w:rsidRPr="00BE0C84">
        <w:rPr>
          <w:rFonts w:ascii="Times New Roman" w:hAnsi="Times New Roman" w:cs="Times New Roman"/>
          <w:color w:val="222222"/>
          <w:sz w:val="24"/>
          <w:szCs w:val="24"/>
          <w:shd w:val="clear" w:color="auto" w:fill="FFFFFF"/>
        </w:rPr>
        <w:t>Yang, L. (2017). The relationship between poverty and inequality: Concepts and measurement. </w:t>
      </w:r>
      <w:r w:rsidRPr="00BE0C84">
        <w:rPr>
          <w:rFonts w:ascii="Times New Roman" w:hAnsi="Times New Roman" w:cs="Times New Roman"/>
          <w:i/>
          <w:iCs/>
          <w:color w:val="222222"/>
          <w:sz w:val="24"/>
          <w:szCs w:val="24"/>
          <w:shd w:val="clear" w:color="auto" w:fill="FFFFFF"/>
        </w:rPr>
        <w:t>Understanding the links between inequalities and poverty (LIP) CASEpaper, Centre for Analysis of Social Exclusion, London</w:t>
      </w:r>
      <w:r w:rsidRPr="00BE0C84">
        <w:rPr>
          <w:rFonts w:ascii="Times New Roman" w:hAnsi="Times New Roman" w:cs="Times New Roman"/>
          <w:color w:val="222222"/>
          <w:sz w:val="24"/>
          <w:szCs w:val="24"/>
          <w:shd w:val="clear" w:color="auto" w:fill="FFFFFF"/>
        </w:rPr>
        <w:t>.</w:t>
      </w:r>
    </w:p>
    <w:sectPr w:rsidR="000379D4" w:rsidRPr="00BE0C84" w:rsidSect="00F0136C">
      <w:headerReference w:type="default" r:id="rId8"/>
      <w:headerReference w:type="first" r:id="rId9"/>
      <w:pgSz w:w="11906" w:h="16838"/>
      <w:pgMar w:top="1440" w:right="1440" w:bottom="1440" w:left="1440" w:header="708"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2258F" w:rsidRDefault="0012258F" w:rsidP="00B0118F">
      <w:pPr>
        <w:spacing w:after="0" w:line="240" w:lineRule="auto"/>
      </w:pPr>
      <w:r>
        <w:separator/>
      </w:r>
    </w:p>
  </w:endnote>
  <w:endnote w:type="continuationSeparator" w:id="1">
    <w:p w:rsidR="0012258F" w:rsidRDefault="0012258F" w:rsidP="00B0118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2258F" w:rsidRDefault="0012258F" w:rsidP="00B0118F">
      <w:pPr>
        <w:spacing w:after="0" w:line="240" w:lineRule="auto"/>
      </w:pPr>
      <w:r>
        <w:separator/>
      </w:r>
    </w:p>
  </w:footnote>
  <w:footnote w:type="continuationSeparator" w:id="1">
    <w:p w:rsidR="0012258F" w:rsidRDefault="0012258F" w:rsidP="00B0118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111199629"/>
      <w:docPartObj>
        <w:docPartGallery w:val="Page Numbers (Top of Page)"/>
        <w:docPartUnique/>
      </w:docPartObj>
    </w:sdtPr>
    <w:sdtEndPr>
      <w:rPr>
        <w:noProof/>
      </w:rPr>
    </w:sdtEndPr>
    <w:sdtContent>
      <w:p w:rsidR="00B0118F" w:rsidRPr="00F0136C" w:rsidRDefault="00F0136C" w:rsidP="00F0136C">
        <w:pPr>
          <w:pStyle w:val="Header"/>
          <w:spacing w:line="480" w:lineRule="auto"/>
          <w:rPr>
            <w:rFonts w:ascii="Times New Roman" w:hAnsi="Times New Roman" w:cs="Times New Roman"/>
            <w:sz w:val="24"/>
            <w:szCs w:val="24"/>
          </w:rPr>
        </w:pPr>
        <w:r w:rsidRPr="00F0136C">
          <w:rPr>
            <w:rFonts w:ascii="Times New Roman" w:hAnsi="Times New Roman" w:cs="Times New Roman"/>
            <w:sz w:val="24"/>
            <w:szCs w:val="24"/>
          </w:rPr>
          <w:t>POVERTY AND INCOME INEQUALITY</w:t>
        </w:r>
        <w:r w:rsidR="007C1143">
          <w:rPr>
            <w:rFonts w:ascii="Times New Roman" w:hAnsi="Times New Roman" w:cs="Times New Roman"/>
            <w:sz w:val="24"/>
            <w:szCs w:val="24"/>
          </w:rPr>
          <w:t xml:space="preserve">                                                                             </w:t>
        </w:r>
        <w:r w:rsidR="00E25655" w:rsidRPr="00F0136C">
          <w:rPr>
            <w:rFonts w:ascii="Times New Roman" w:hAnsi="Times New Roman" w:cs="Times New Roman"/>
            <w:sz w:val="24"/>
            <w:szCs w:val="24"/>
          </w:rPr>
          <w:fldChar w:fldCharType="begin"/>
        </w:r>
        <w:r w:rsidRPr="00F0136C">
          <w:rPr>
            <w:rFonts w:ascii="Times New Roman" w:hAnsi="Times New Roman" w:cs="Times New Roman"/>
            <w:sz w:val="24"/>
            <w:szCs w:val="24"/>
          </w:rPr>
          <w:instrText xml:space="preserve"> PAGE   \* MERGEFORMAT </w:instrText>
        </w:r>
        <w:r w:rsidR="00E25655" w:rsidRPr="00F0136C">
          <w:rPr>
            <w:rFonts w:ascii="Times New Roman" w:hAnsi="Times New Roman" w:cs="Times New Roman"/>
            <w:sz w:val="24"/>
            <w:szCs w:val="24"/>
          </w:rPr>
          <w:fldChar w:fldCharType="separate"/>
        </w:r>
        <w:r w:rsidR="003B2863">
          <w:rPr>
            <w:rFonts w:ascii="Times New Roman" w:hAnsi="Times New Roman" w:cs="Times New Roman"/>
            <w:noProof/>
            <w:sz w:val="24"/>
            <w:szCs w:val="24"/>
          </w:rPr>
          <w:t>7</w:t>
        </w:r>
        <w:r w:rsidR="00E25655" w:rsidRPr="00F0136C">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941594517"/>
      <w:docPartObj>
        <w:docPartGallery w:val="Page Numbers (Top of Page)"/>
        <w:docPartUnique/>
      </w:docPartObj>
    </w:sdtPr>
    <w:sdtEndPr>
      <w:rPr>
        <w:noProof/>
      </w:rPr>
    </w:sdtEndPr>
    <w:sdtContent>
      <w:p w:rsidR="00B0118F" w:rsidRPr="00F0136C" w:rsidRDefault="00F0136C" w:rsidP="00F0136C">
        <w:pPr>
          <w:pStyle w:val="Header"/>
          <w:spacing w:line="480" w:lineRule="auto"/>
          <w:rPr>
            <w:rFonts w:ascii="Times New Roman" w:hAnsi="Times New Roman" w:cs="Times New Roman"/>
            <w:sz w:val="24"/>
            <w:szCs w:val="24"/>
          </w:rPr>
        </w:pPr>
        <w:r w:rsidRPr="00F0136C">
          <w:rPr>
            <w:rFonts w:ascii="Times New Roman" w:hAnsi="Times New Roman" w:cs="Times New Roman"/>
            <w:sz w:val="24"/>
            <w:szCs w:val="24"/>
          </w:rPr>
          <w:t>Running head: POVERTY AND INCOME INEQUALITY</w:t>
        </w:r>
        <w:r w:rsidR="007C1143">
          <w:rPr>
            <w:rFonts w:ascii="Times New Roman" w:hAnsi="Times New Roman" w:cs="Times New Roman"/>
            <w:sz w:val="24"/>
            <w:szCs w:val="24"/>
          </w:rPr>
          <w:t xml:space="preserve">                                                    </w:t>
        </w:r>
        <w:r w:rsidR="00E25655" w:rsidRPr="00F0136C">
          <w:rPr>
            <w:rFonts w:ascii="Times New Roman" w:hAnsi="Times New Roman" w:cs="Times New Roman"/>
            <w:sz w:val="24"/>
            <w:szCs w:val="24"/>
          </w:rPr>
          <w:fldChar w:fldCharType="begin"/>
        </w:r>
        <w:r w:rsidRPr="00F0136C">
          <w:rPr>
            <w:rFonts w:ascii="Times New Roman" w:hAnsi="Times New Roman" w:cs="Times New Roman"/>
            <w:sz w:val="24"/>
            <w:szCs w:val="24"/>
          </w:rPr>
          <w:instrText xml:space="preserve"> PAGE   \* MERGEFORMAT </w:instrText>
        </w:r>
        <w:r w:rsidR="00E25655" w:rsidRPr="00F0136C">
          <w:rPr>
            <w:rFonts w:ascii="Times New Roman" w:hAnsi="Times New Roman" w:cs="Times New Roman"/>
            <w:sz w:val="24"/>
            <w:szCs w:val="24"/>
          </w:rPr>
          <w:fldChar w:fldCharType="separate"/>
        </w:r>
        <w:r w:rsidR="003B2863">
          <w:rPr>
            <w:rFonts w:ascii="Times New Roman" w:hAnsi="Times New Roman" w:cs="Times New Roman"/>
            <w:noProof/>
            <w:sz w:val="24"/>
            <w:szCs w:val="24"/>
          </w:rPr>
          <w:t>1</w:t>
        </w:r>
        <w:r w:rsidR="00E25655" w:rsidRPr="00F0136C">
          <w:rPr>
            <w:rFonts w:ascii="Times New Roman" w:hAnsi="Times New Roman" w:cs="Times New Roman"/>
            <w:noProof/>
            <w:sz w:val="24"/>
            <w:szCs w:val="24"/>
          </w:rPr>
          <w:fldChar w:fldCharType="end"/>
        </w:r>
      </w:p>
    </w:sdtContent>
  </w:sdt>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9560B7"/>
    <w:rsid w:val="000379D4"/>
    <w:rsid w:val="00081102"/>
    <w:rsid w:val="0009796E"/>
    <w:rsid w:val="000D1145"/>
    <w:rsid w:val="000D7F7D"/>
    <w:rsid w:val="00102C89"/>
    <w:rsid w:val="0012258F"/>
    <w:rsid w:val="00156A94"/>
    <w:rsid w:val="00182478"/>
    <w:rsid w:val="00195138"/>
    <w:rsid w:val="001B4CA3"/>
    <w:rsid w:val="001E78CB"/>
    <w:rsid w:val="00203516"/>
    <w:rsid w:val="002055B2"/>
    <w:rsid w:val="00256969"/>
    <w:rsid w:val="0026159B"/>
    <w:rsid w:val="00266252"/>
    <w:rsid w:val="00267550"/>
    <w:rsid w:val="00276F4D"/>
    <w:rsid w:val="002C5FC7"/>
    <w:rsid w:val="00306C09"/>
    <w:rsid w:val="00355C59"/>
    <w:rsid w:val="003745E5"/>
    <w:rsid w:val="00391FF0"/>
    <w:rsid w:val="003B2863"/>
    <w:rsid w:val="003C6FBE"/>
    <w:rsid w:val="003F5294"/>
    <w:rsid w:val="003F703A"/>
    <w:rsid w:val="00410B26"/>
    <w:rsid w:val="00450FC9"/>
    <w:rsid w:val="00497566"/>
    <w:rsid w:val="004A2C66"/>
    <w:rsid w:val="004C2CA3"/>
    <w:rsid w:val="004C30C3"/>
    <w:rsid w:val="004D025B"/>
    <w:rsid w:val="00524450"/>
    <w:rsid w:val="005909DE"/>
    <w:rsid w:val="00593B72"/>
    <w:rsid w:val="006C4101"/>
    <w:rsid w:val="006E303A"/>
    <w:rsid w:val="006F2ABE"/>
    <w:rsid w:val="007A71FC"/>
    <w:rsid w:val="007C1143"/>
    <w:rsid w:val="0080443D"/>
    <w:rsid w:val="00804449"/>
    <w:rsid w:val="008167D8"/>
    <w:rsid w:val="008608C4"/>
    <w:rsid w:val="008B18FE"/>
    <w:rsid w:val="008E1784"/>
    <w:rsid w:val="009111D9"/>
    <w:rsid w:val="0094737C"/>
    <w:rsid w:val="009560B7"/>
    <w:rsid w:val="0099444E"/>
    <w:rsid w:val="00A31AEA"/>
    <w:rsid w:val="00B0118F"/>
    <w:rsid w:val="00B92737"/>
    <w:rsid w:val="00BC2B73"/>
    <w:rsid w:val="00BE0C84"/>
    <w:rsid w:val="00BE2DCC"/>
    <w:rsid w:val="00BF0AD9"/>
    <w:rsid w:val="00C1484F"/>
    <w:rsid w:val="00C61280"/>
    <w:rsid w:val="00C73C6E"/>
    <w:rsid w:val="00CD5B26"/>
    <w:rsid w:val="00D112FC"/>
    <w:rsid w:val="00D30B0F"/>
    <w:rsid w:val="00D32FE7"/>
    <w:rsid w:val="00D570A7"/>
    <w:rsid w:val="00D913D7"/>
    <w:rsid w:val="00DF2A9E"/>
    <w:rsid w:val="00E25655"/>
    <w:rsid w:val="00E90678"/>
    <w:rsid w:val="00EA7A26"/>
    <w:rsid w:val="00EB54A5"/>
    <w:rsid w:val="00EE38D8"/>
    <w:rsid w:val="00F0136C"/>
    <w:rsid w:val="00FC12B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5C5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118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118F"/>
  </w:style>
  <w:style w:type="paragraph" w:styleId="Footer">
    <w:name w:val="footer"/>
    <w:basedOn w:val="Normal"/>
    <w:link w:val="FooterChar"/>
    <w:uiPriority w:val="99"/>
    <w:unhideWhenUsed/>
    <w:rsid w:val="00B0118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118F"/>
  </w:style>
  <w:style w:type="character" w:styleId="Hyperlink">
    <w:name w:val="Hyperlink"/>
    <w:basedOn w:val="DefaultParagraphFont"/>
    <w:uiPriority w:val="99"/>
    <w:unhideWhenUsed/>
    <w:rsid w:val="00F0136C"/>
    <w:rPr>
      <w:color w:val="0563C1" w:themeColor="hyperlink"/>
      <w:u w:val="single"/>
    </w:rPr>
  </w:style>
  <w:style w:type="paragraph" w:styleId="NormalWeb">
    <w:name w:val="Normal (Web)"/>
    <w:basedOn w:val="Normal"/>
    <w:uiPriority w:val="99"/>
    <w:semiHidden/>
    <w:unhideWhenUsed/>
    <w:rsid w:val="00D913D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D913D7"/>
    <w:rPr>
      <w:b/>
      <w:bCs/>
    </w:rPr>
  </w:style>
</w:styles>
</file>

<file path=word/webSettings.xml><?xml version="1.0" encoding="utf-8"?>
<w:webSettings xmlns:r="http://schemas.openxmlformats.org/officeDocument/2006/relationships" xmlns:w="http://schemas.openxmlformats.org/wordprocessingml/2006/main">
  <w:divs>
    <w:div w:id="768503565">
      <w:bodyDiv w:val="1"/>
      <w:marLeft w:val="0"/>
      <w:marRight w:val="0"/>
      <w:marTop w:val="0"/>
      <w:marBottom w:val="0"/>
      <w:divBdr>
        <w:top w:val="none" w:sz="0" w:space="0" w:color="auto"/>
        <w:left w:val="none" w:sz="0" w:space="0" w:color="auto"/>
        <w:bottom w:val="none" w:sz="0" w:space="0" w:color="auto"/>
        <w:right w:val="none" w:sz="0" w:space="0" w:color="auto"/>
      </w:divBdr>
      <w:divsChild>
        <w:div w:id="1814178293">
          <w:marLeft w:val="0"/>
          <w:marRight w:val="0"/>
          <w:marTop w:val="0"/>
          <w:marBottom w:val="0"/>
          <w:divBdr>
            <w:top w:val="none" w:sz="0" w:space="0" w:color="auto"/>
            <w:left w:val="none" w:sz="0" w:space="0" w:color="auto"/>
            <w:bottom w:val="none" w:sz="0" w:space="0" w:color="auto"/>
            <w:right w:val="none" w:sz="0" w:space="0" w:color="auto"/>
          </w:divBdr>
        </w:div>
      </w:divsChild>
    </w:div>
    <w:div w:id="1811633826">
      <w:bodyDiv w:val="1"/>
      <w:marLeft w:val="0"/>
      <w:marRight w:val="0"/>
      <w:marTop w:val="0"/>
      <w:marBottom w:val="0"/>
      <w:divBdr>
        <w:top w:val="none" w:sz="0" w:space="0" w:color="auto"/>
        <w:left w:val="none" w:sz="0" w:space="0" w:color="auto"/>
        <w:bottom w:val="none" w:sz="0" w:space="0" w:color="auto"/>
        <w:right w:val="none" w:sz="0" w:space="0" w:color="auto"/>
      </w:divBdr>
      <w:divsChild>
        <w:div w:id="1349135866">
          <w:marLeft w:val="0"/>
          <w:marRight w:val="0"/>
          <w:marTop w:val="0"/>
          <w:marBottom w:val="0"/>
          <w:divBdr>
            <w:top w:val="none" w:sz="0" w:space="0" w:color="auto"/>
            <w:left w:val="none" w:sz="0" w:space="0" w:color="auto"/>
            <w:bottom w:val="none" w:sz="0" w:space="0" w:color="auto"/>
            <w:right w:val="none" w:sz="0" w:space="0" w:color="auto"/>
          </w:divBdr>
          <w:divsChild>
            <w:div w:id="212850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jhr.uwpress.org/content/53/4/859.shor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ciencedirect.com/science/article/pii/S0304387817300858"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1526</Words>
  <Characters>8703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2019-08-27T17:57:00Z</dcterms:created>
  <dcterms:modified xsi:type="dcterms:W3CDTF">2019-08-27T17:57:00Z</dcterms:modified>
</cp:coreProperties>
</file>